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C" w:rsidRDefault="008B1616" w:rsidP="0024238C">
      <w:pPr>
        <w:rPr>
          <w:rFonts w:cstheme="minorHAnsi"/>
          <w:b/>
          <w:sz w:val="40"/>
          <w:szCs w:val="40"/>
          <w:lang w:val="fi-FI"/>
        </w:rPr>
      </w:pPr>
      <w:proofErr w:type="spellStart"/>
      <w:r>
        <w:rPr>
          <w:rFonts w:cstheme="minorHAnsi"/>
          <w:b/>
          <w:sz w:val="40"/>
          <w:szCs w:val="40"/>
          <w:lang w:val="fi-FI"/>
        </w:rPr>
        <w:t>PAU:n</w:t>
      </w:r>
      <w:proofErr w:type="spellEnd"/>
      <w:r w:rsidR="0024238C">
        <w:rPr>
          <w:rFonts w:cstheme="minorHAnsi"/>
          <w:b/>
          <w:sz w:val="40"/>
          <w:szCs w:val="40"/>
          <w:lang w:val="fi-FI"/>
        </w:rPr>
        <w:t xml:space="preserve"> TALVIPÄIVÄT </w:t>
      </w:r>
      <w:r w:rsidR="0024238C">
        <w:rPr>
          <w:rFonts w:cstheme="minorHAnsi"/>
          <w:b/>
          <w:sz w:val="40"/>
          <w:szCs w:val="40"/>
          <w:lang w:val="fi-FI"/>
        </w:rPr>
        <w:t>14.–15.2.2015</w:t>
      </w:r>
      <w:r w:rsidR="0024238C">
        <w:rPr>
          <w:rFonts w:cstheme="minorHAnsi"/>
          <w:b/>
          <w:sz w:val="40"/>
          <w:szCs w:val="40"/>
          <w:lang w:val="fi-FI"/>
        </w:rPr>
        <w:t xml:space="preserve"> </w:t>
      </w:r>
      <w:r w:rsidR="0024238C">
        <w:rPr>
          <w:rFonts w:cstheme="minorHAnsi"/>
          <w:b/>
          <w:sz w:val="40"/>
          <w:szCs w:val="40"/>
          <w:lang w:val="fi-FI"/>
        </w:rPr>
        <w:t>Varkaus</w:t>
      </w:r>
    </w:p>
    <w:p w:rsidR="0024238C" w:rsidRDefault="0024238C" w:rsidP="0024238C">
      <w:pPr>
        <w:rPr>
          <w:rFonts w:cstheme="minorHAnsi"/>
          <w:b/>
          <w:sz w:val="32"/>
          <w:szCs w:val="32"/>
          <w:lang w:val="fi-FI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598170" cy="598170"/>
            <wp:effectExtent l="0" t="0" r="0" b="0"/>
            <wp:docPr id="8" name="Kuva 8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612140" cy="598170"/>
            <wp:effectExtent l="0" t="0" r="0" b="0"/>
            <wp:docPr id="7" name="Kuva 7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626012" cy="597877"/>
            <wp:effectExtent l="0" t="0" r="3175" b="0"/>
            <wp:docPr id="6" name="Kuva 6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19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689317" cy="597877"/>
            <wp:effectExtent l="0" t="0" r="0" b="0"/>
            <wp:docPr id="5" name="Kuva 5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710565" cy="598170"/>
            <wp:effectExtent l="0" t="0" r="0" b="0"/>
            <wp:docPr id="4" name="Kuva 4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598170" cy="598170"/>
            <wp:effectExtent l="0" t="0" r="0" b="0"/>
            <wp:docPr id="3" name="Kuva 3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689610" cy="598170"/>
            <wp:effectExtent l="0" t="0" r="0" b="0"/>
            <wp:docPr id="2" name="Kuva 2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</w:rPr>
        <w:drawing>
          <wp:inline distT="0" distB="0" distL="0" distR="0">
            <wp:extent cx="689610" cy="598170"/>
            <wp:effectExtent l="0" t="0" r="0" b="0"/>
            <wp:docPr id="1" name="Kuva 1" descr="MP9004490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MP900449089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CellSpacing w:w="15" w:type="dxa"/>
        <w:tblLook w:val="04A0" w:firstRow="1" w:lastRow="0" w:firstColumn="1" w:lastColumn="0" w:noHBand="0" w:noVBand="1"/>
      </w:tblPr>
      <w:tblGrid>
        <w:gridCol w:w="8254"/>
        <w:gridCol w:w="30"/>
        <w:gridCol w:w="1184"/>
      </w:tblGrid>
      <w:tr w:rsidR="0024238C" w:rsidRPr="008B1616" w:rsidTr="00AE162C">
        <w:trPr>
          <w:gridAfter w:val="2"/>
          <w:wAfter w:w="18" w:type="dxa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38C" w:rsidRPr="008B1616" w:rsidRDefault="0024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fi-FI"/>
              </w:rPr>
            </w:pPr>
          </w:p>
        </w:tc>
      </w:tr>
      <w:tr w:rsidR="0024238C" w:rsidRPr="0024238C" w:rsidTr="00AE162C">
        <w:trPr>
          <w:tblCellSpacing w:w="15" w:type="dxa"/>
        </w:trPr>
        <w:tc>
          <w:tcPr>
            <w:tcW w:w="940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38C" w:rsidRDefault="0024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Kuopion osasto osallistuu </w:t>
            </w:r>
            <w:r w:rsidR="00AE162C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Varkauden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talvipäiville.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Mukaanpääsy jäsenille osallistumalla joko urheilukilpailuun tai kokousedustajaksi.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Kokousedustajaksi haluava, ota yhteyttä Juha Heikkiseen, puh. 040 735 7282 tai </w:t>
            </w:r>
            <w:hyperlink r:id="rId11" w:history="1">
              <w:r>
                <w:rPr>
                  <w:rStyle w:val="Hyperlinkki"/>
                  <w:rFonts w:ascii="Times New Roman" w:eastAsia="Times New Roman" w:hAnsi="Times New Roman" w:cs="Times New Roman"/>
                  <w:sz w:val="24"/>
                  <w:szCs w:val="24"/>
                  <w:lang w:val="fi-FI"/>
                </w:rPr>
                <w:t>juha.heikkinen@posti.fi</w:t>
              </w:r>
            </w:hyperlink>
          </w:p>
          <w:p w:rsidR="0024238C" w:rsidRDefault="0024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Lähtö lauantaina </w:t>
            </w:r>
            <w:r w:rsid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.2.201</w:t>
            </w:r>
            <w:r w:rsid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ja paluu sunnuntaina </w:t>
            </w:r>
            <w:r w:rsid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.2.201</w:t>
            </w:r>
            <w:r w:rsid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Aikataulu lähdön ja paluun osalta päätetään myöhemmin. Kuopion osasto järjestää kuljetuksen ja maksaa urheilukilpailuun osallistuvilta tai kokousedustajilta yöpymisen. Ruokailut kustantavat osallistujat itse.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>Huom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! Mukaan mahtuu kuusikymmentä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>ensimmäistä ilmoittautumisjärjestyksessä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i-FI"/>
              </w:rPr>
              <w:t xml:space="preserve">. </w:t>
            </w:r>
            <w:r w:rsidRPr="0024238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Nopeat syövät hitaat!</w:t>
            </w:r>
          </w:p>
          <w:p w:rsidR="00AE162C" w:rsidRDefault="0024238C" w:rsidP="00AE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Lajit ovat 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hiihto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,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potkurisprintti, </w:t>
            </w:r>
            <w:proofErr w:type="spellStart"/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futsal</w:t>
            </w:r>
            <w:proofErr w:type="spellEnd"/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 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ja 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pari</w:t>
            </w:r>
            <w:r w:rsidRPr="00D01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keilailu</w:t>
            </w: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. Urheilukilpailut ovat lauantaina </w:t>
            </w: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14</w:t>
            </w: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.2.201</w:t>
            </w:r>
            <w:r w:rsidR="001D6D54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5</w:t>
            </w: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. Aikataulut kilpailuihin tarkentuvat myöhemmin. </w:t>
            </w:r>
          </w:p>
          <w:p w:rsidR="0024238C" w:rsidRPr="00D016D1" w:rsidRDefault="00D016D1" w:rsidP="00AE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Lajit: </w:t>
            </w:r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Hiihto 5 km</w:t>
            </w:r>
            <w:r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,</w:t>
            </w:r>
            <w:r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 xml:space="preserve"> </w:t>
            </w:r>
            <w:proofErr w:type="spellStart"/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Futsal</w:t>
            </w:r>
            <w:proofErr w:type="spellEnd"/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, liikuntatalo</w:t>
            </w:r>
            <w:r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 xml:space="preserve">, </w:t>
            </w:r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Parikeilailu</w:t>
            </w:r>
            <w:r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,</w:t>
            </w:r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 xml:space="preserve"> </w:t>
            </w:r>
            <w:r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L</w:t>
            </w:r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iikuntatalo</w:t>
            </w:r>
            <w:r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 xml:space="preserve">, </w:t>
            </w:r>
            <w:r w:rsidR="0024238C" w:rsidRPr="00D016D1"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Potkurisprintti 3-hengen joukkueet, kisapuiston kenttä, liikuntatalon läheisyydessä</w:t>
            </w:r>
            <w:r>
              <w:rPr>
                <w:rStyle w:val="usercontent"/>
                <w:rFonts w:ascii="Times New Roman" w:hAnsi="Times New Roman" w:cs="Times New Roman"/>
                <w:color w:val="141823"/>
                <w:sz w:val="24"/>
                <w:szCs w:val="24"/>
                <w:lang w:val="fi-FI"/>
              </w:rPr>
              <w:t>.</w:t>
            </w:r>
          </w:p>
          <w:p w:rsidR="0024238C" w:rsidRDefault="00242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 xml:space="preserve">Viimeinen ilmoittautumispäivä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i-FI"/>
              </w:rPr>
              <w:t>1</w:t>
            </w:r>
            <w:r w:rsidR="008B16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i-FI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i-FI"/>
              </w:rPr>
              <w:t>.11.201</w:t>
            </w:r>
            <w:r w:rsidR="001D6D5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i-FI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 Ilmoittautuminen on sitova.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Majoitusten suhteen viimeinen perumispäivä on 31.12.201</w:t>
            </w:r>
            <w:r w:rsidR="001D6D5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Tämän jälkeen peruutta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nut henkilö maksaa tyhjän majoituspaikan itse, ellei tilalle saada toista osaston jäsentä. Ainoastaan erittäin pakottavista syistä osasto maksaa tyhjän majoituspaikan.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Majoittautuminen hotelli </w:t>
            </w:r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Oscarissa ja kylpylähotelli Kuntorannassa.</w:t>
            </w:r>
            <w:proofErr w:type="gramEnd"/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Kuntorannassa kahden hengen huoneissa ja Oscarissa 1 tai 4 hengen </w:t>
            </w:r>
            <w:proofErr w:type="gramStart"/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huoneissa ( </w:t>
            </w:r>
            <w:r w:rsidR="00AE16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viitti</w:t>
            </w:r>
            <w:proofErr w:type="gramEnd"/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). </w:t>
            </w:r>
            <w:proofErr w:type="gramStart"/>
            <w:r w:rsidR="00D016D1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Mikäli teitä on neljän hengen porukka voitte </w:t>
            </w:r>
            <w:r w:rsidR="008B16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ilmoittautumisen yhteydessä mainita sen.</w:t>
            </w:r>
            <w:proofErr w:type="gramEnd"/>
            <w:r w:rsidR="008B16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24238C" w:rsidRDefault="0024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Ilmoittautumiseen: </w:t>
            </w:r>
            <w:r>
              <w:rPr>
                <w:rStyle w:val="Kirjannimike"/>
                <w:rFonts w:ascii="Times New Roman" w:hAnsi="Times New Roman" w:cs="Times New Roman"/>
                <w:sz w:val="24"/>
                <w:szCs w:val="24"/>
                <w:lang w:val="fi-FI"/>
              </w:rPr>
              <w:t>Nimi, Osoite, Urheilulaji</w:t>
            </w:r>
            <w:r w:rsidR="00AE162C">
              <w:rPr>
                <w:rStyle w:val="Kirjannimike"/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tai kokousedustaja</w:t>
            </w:r>
            <w:r>
              <w:rPr>
                <w:rStyle w:val="Kirjannimike"/>
                <w:rFonts w:ascii="Times New Roman" w:hAnsi="Times New Roman" w:cs="Times New Roman"/>
                <w:sz w:val="24"/>
                <w:szCs w:val="24"/>
                <w:lang w:val="fi-FI"/>
              </w:rPr>
              <w:t>, Majoitustoive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huonekaverin suhteen.</w:t>
            </w:r>
            <w:proofErr w:type="gramEnd"/>
            <w:r w:rsidR="008B161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  <w:p w:rsidR="0024238C" w:rsidRDefault="00242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Ilmoittautumiset sähköpostilla: </w:t>
            </w:r>
            <w:hyperlink r:id="rId12" w:history="1">
              <w:r>
                <w:rPr>
                  <w:rStyle w:val="Hyperlinkki"/>
                  <w:rFonts w:ascii="Times New Roman" w:hAnsi="Times New Roman" w:cs="Times New Roman"/>
                  <w:sz w:val="24"/>
                  <w:szCs w:val="24"/>
                  <w:lang w:val="fi-FI"/>
                </w:rPr>
                <w:t>kari.j.kettunen@posti.</w:t>
              </w:r>
              <w:proofErr w:type="gramStart"/>
              <w:r>
                <w:rPr>
                  <w:rStyle w:val="Hyperlinkki"/>
                  <w:rFonts w:ascii="Times New Roman" w:hAnsi="Times New Roman" w:cs="Times New Roman"/>
                  <w:sz w:val="24"/>
                  <w:szCs w:val="24"/>
                  <w:lang w:val="fi-FI"/>
                </w:rPr>
                <w:t>fi</w:t>
              </w:r>
            </w:hyperlink>
            <w:r>
              <w:rPr>
                <w:rStyle w:val="Hyperlinkki"/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,</w:t>
            </w:r>
            <w:proofErr w:type="gramEnd"/>
            <w:r>
              <w:rPr>
                <w:rStyle w:val="Hyperlinkki"/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tai puhelimitse (</w:t>
            </w:r>
            <w:r w:rsidR="00AE162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mieluiten tekstiviestillä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): 040 561 1117</w:t>
            </w:r>
          </w:p>
          <w:p w:rsidR="008B1616" w:rsidRDefault="008B1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B1616" w:rsidRDefault="008B1616" w:rsidP="00BC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Lisätietoa heti, kun sitä on jaettavissa. Vaihdamm</w:t>
            </w:r>
            <w:r w:rsidR="00BC3E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e yhden hengen huoneita kahden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hengen huoneiksi, mikäli niitä vapautuu</w:t>
            </w:r>
            <w:r w:rsidR="00BC3E5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 Oscar on täyteen varattu viikonlopun ajan.</w:t>
            </w:r>
          </w:p>
        </w:tc>
      </w:tr>
      <w:tr w:rsidR="0024238C" w:rsidRPr="0024238C" w:rsidTr="00AE162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38C" w:rsidRDefault="0024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i-FI"/>
              </w:rPr>
            </w:pPr>
          </w:p>
        </w:tc>
      </w:tr>
      <w:tr w:rsidR="0024238C" w:rsidRPr="0024238C" w:rsidTr="00AE162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238C" w:rsidRDefault="00242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i-FI"/>
              </w:rPr>
            </w:pPr>
          </w:p>
        </w:tc>
      </w:tr>
    </w:tbl>
    <w:p w:rsidR="0024238C" w:rsidRDefault="0024238C" w:rsidP="0024238C">
      <w:pPr>
        <w:shd w:val="clear" w:color="auto" w:fill="FFFFAA"/>
        <w:spacing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val="fi-FI"/>
        </w:rPr>
      </w:pPr>
      <w:r>
        <w:rPr>
          <w:rFonts w:ascii="Verdana" w:eastAsia="Times New Roman" w:hAnsi="Verdana" w:cs="Times New Roman"/>
          <w:vanish/>
          <w:color w:val="000000"/>
          <w:sz w:val="18"/>
          <w:szCs w:val="18"/>
          <w:lang w:val="fi-FI"/>
        </w:rPr>
        <w:t>» Siirrä tähän (Pääpalsta) «</w:t>
      </w:r>
    </w:p>
    <w:p w:rsidR="0024238C" w:rsidRDefault="0024238C" w:rsidP="0024238C">
      <w:pPr>
        <w:rPr>
          <w:sz w:val="24"/>
          <w:szCs w:val="24"/>
          <w:lang w:val="fi-FI"/>
        </w:rPr>
      </w:pPr>
    </w:p>
    <w:p w:rsidR="004528D7" w:rsidRPr="0024238C" w:rsidRDefault="004528D7">
      <w:pPr>
        <w:rPr>
          <w:lang w:val="fi-FI"/>
        </w:rPr>
      </w:pPr>
    </w:p>
    <w:sectPr w:rsidR="004528D7" w:rsidRPr="00242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8C"/>
    <w:rsid w:val="001D6D54"/>
    <w:rsid w:val="0024238C"/>
    <w:rsid w:val="004528D7"/>
    <w:rsid w:val="008B1616"/>
    <w:rsid w:val="00AE162C"/>
    <w:rsid w:val="00BC3E57"/>
    <w:rsid w:val="00D0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23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4238C"/>
    <w:rPr>
      <w:color w:val="0000FF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24238C"/>
    <w:rPr>
      <w:b/>
      <w:bCs/>
      <w:smallCap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38C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Kappaleenoletusfontti"/>
    <w:rsid w:val="00242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238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4238C"/>
    <w:rPr>
      <w:color w:val="0000FF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24238C"/>
    <w:rPr>
      <w:b/>
      <w:bCs/>
      <w:smallCaps/>
      <w:spacing w:val="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38C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Kappaleenoletusfontti"/>
    <w:rsid w:val="0024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ari.j.kettunen@post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juha.heikkinen@posti.f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Kettunen Kari Juhani</dc:creator>
  <cp:lastModifiedBy>Kettunen Kari Juhani</cp:lastModifiedBy>
  <cp:revision>2</cp:revision>
  <dcterms:created xsi:type="dcterms:W3CDTF">2014-10-17T08:21:00Z</dcterms:created>
  <dcterms:modified xsi:type="dcterms:W3CDTF">2014-10-17T09:11:00Z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-370777899</vt:i4>
  </property>
  <property fmtid="{D5CDD505-2E9C-101B-9397-08002B2CF9AE}" pid="3" name="_NewReviewCycle">
    <vt:lpwstr/>
  </property>
  <property fmtid="{D5CDD505-2E9C-101B-9397-08002B2CF9AE}" pid="4" name="_EmailSubject">
    <vt:lpwstr>Osaston tilinumero vaihtunut ilmoituksissa olleista, huomioikaa!</vt:lpwstr>
  </property>
  <property fmtid="{D5CDD505-2E9C-101B-9397-08002B2CF9AE}" pid="5" name="_AuthorEmail">
    <vt:lpwstr>Kari.J.Kettunen@posti.fi</vt:lpwstr>
  </property>
  <property fmtid="{D5CDD505-2E9C-101B-9397-08002B2CF9AE}" pid="6" name="_AuthorEmailDisplayName">
    <vt:lpwstr>Kettunen Kari Juhani</vt:lpwstr>
  </property>
</Properties>
</file>